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CF" w:rsidRDefault="00E35AFD" w:rsidP="000D47E3">
      <w:pPr>
        <w:pStyle w:val="Header"/>
        <w:jc w:val="center"/>
        <w:rPr>
          <w:rFonts w:ascii="Adobe Caslon Pro" w:hAnsi="Adobe Caslon Pro"/>
          <w:color w:val="365F91" w:themeColor="accent1" w:themeShade="BF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0D32E6" wp14:editId="43665209">
            <wp:simplePos x="0" y="0"/>
            <wp:positionH relativeFrom="column">
              <wp:posOffset>2571750</wp:posOffset>
            </wp:positionH>
            <wp:positionV relativeFrom="paragraph">
              <wp:posOffset>-139700</wp:posOffset>
            </wp:positionV>
            <wp:extent cx="618490" cy="688975"/>
            <wp:effectExtent l="0" t="0" r="0" b="0"/>
            <wp:wrapSquare wrapText="bothSides"/>
            <wp:docPr id="6" name="Picture 1" descr="C:\Users\Owner\AppData\Local\Microsoft\Windows\Temporary Internet Files\Content.Word\Cross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Word\CrossKe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99B">
        <w:rPr>
          <w:rFonts w:ascii="Adobe Caslon Pro" w:hAnsi="Adobe Caslon Pro"/>
          <w:color w:val="365F91" w:themeColor="accent1" w:themeShade="BF"/>
          <w:sz w:val="44"/>
          <w:szCs w:val="44"/>
          <w:u w:val="single"/>
        </w:rPr>
        <w:t xml:space="preserve"> </w:t>
      </w:r>
    </w:p>
    <w:p w:rsidR="004418CF" w:rsidRDefault="004418CF" w:rsidP="00E35AFD">
      <w:pPr>
        <w:pStyle w:val="NoSpacing"/>
        <w:rPr>
          <w:rFonts w:ascii="Adobe Caslon Pro" w:hAnsi="Adobe Caslon Pro"/>
          <w:color w:val="365F91" w:themeColor="accent1" w:themeShade="BF"/>
          <w:sz w:val="44"/>
          <w:szCs w:val="44"/>
          <w:u w:val="single"/>
        </w:rPr>
      </w:pPr>
    </w:p>
    <w:p w:rsidR="004418CF" w:rsidRDefault="000D47E3" w:rsidP="004418CF">
      <w:pPr>
        <w:pStyle w:val="NoSpacing"/>
        <w:jc w:val="center"/>
        <w:rPr>
          <w:rFonts w:ascii="Adobe Caslon Pro" w:hAnsi="Adobe Caslon Pro"/>
          <w:color w:val="365F91" w:themeColor="accent1" w:themeShade="BF"/>
          <w:sz w:val="44"/>
          <w:szCs w:val="44"/>
          <w:u w:val="single"/>
        </w:rPr>
      </w:pPr>
      <w:r>
        <w:rPr>
          <w:rFonts w:ascii="Adobe Caslon Pro" w:hAnsi="Adobe Caslon Pro"/>
          <w:color w:val="365F91" w:themeColor="accent1" w:themeShade="BF"/>
          <w:sz w:val="44"/>
          <w:szCs w:val="44"/>
          <w:u w:val="single"/>
        </w:rPr>
        <w:t>Elworth CE Primary School</w:t>
      </w:r>
    </w:p>
    <w:p w:rsidR="000D47E3" w:rsidRPr="004418CF" w:rsidRDefault="000D47E3" w:rsidP="004418CF">
      <w:pPr>
        <w:pStyle w:val="NoSpacing"/>
        <w:jc w:val="center"/>
        <w:rPr>
          <w:rFonts w:ascii="Adobe Caslon Pro" w:hAnsi="Adobe Caslon Pro"/>
          <w:color w:val="365F91" w:themeColor="accent1" w:themeShade="BF"/>
          <w:sz w:val="44"/>
          <w:szCs w:val="44"/>
          <w:u w:val="single"/>
        </w:rPr>
      </w:pPr>
      <w:r w:rsidRPr="000D47E3">
        <w:rPr>
          <w:i/>
          <w:sz w:val="16"/>
          <w:szCs w:val="16"/>
        </w:rPr>
        <w:t xml:space="preserve">The governing body is the school’s </w:t>
      </w:r>
      <w:proofErr w:type="gramStart"/>
      <w:r w:rsidRPr="000D47E3">
        <w:rPr>
          <w:i/>
          <w:sz w:val="16"/>
          <w:szCs w:val="16"/>
        </w:rPr>
        <w:t>accountable</w:t>
      </w:r>
      <w:proofErr w:type="gramEnd"/>
      <w:r w:rsidRPr="000D47E3">
        <w:rPr>
          <w:i/>
          <w:sz w:val="16"/>
          <w:szCs w:val="16"/>
        </w:rPr>
        <w:t xml:space="preserve"> body.  It is responsible for the conduct of the school and for promoting high standards.  The governing body aims to ensure that children are attending a successful school which provides them with a good education and supports their well-being.</w:t>
      </w:r>
    </w:p>
    <w:p w:rsidR="004418CF" w:rsidRPr="004418CF" w:rsidRDefault="000D47E3" w:rsidP="004418CF">
      <w:pPr>
        <w:pStyle w:val="NoSpacing"/>
        <w:jc w:val="center"/>
        <w:rPr>
          <w:b/>
          <w:sz w:val="36"/>
          <w:szCs w:val="36"/>
        </w:rPr>
      </w:pPr>
      <w:r w:rsidRPr="004418CF">
        <w:rPr>
          <w:b/>
          <w:sz w:val="36"/>
          <w:szCs w:val="36"/>
        </w:rPr>
        <w:t>Teaching, Learning and Achievement Committee</w:t>
      </w:r>
    </w:p>
    <w:p w:rsidR="003B54F9" w:rsidRDefault="003B54F9" w:rsidP="004418CF">
      <w:pPr>
        <w:pStyle w:val="NoSpacing"/>
        <w:jc w:val="center"/>
        <w:rPr>
          <w:sz w:val="32"/>
          <w:szCs w:val="32"/>
          <w:u w:val="single"/>
        </w:rPr>
      </w:pPr>
    </w:p>
    <w:p w:rsidR="004418CF" w:rsidRDefault="000D47E3" w:rsidP="004418CF">
      <w:pPr>
        <w:pStyle w:val="NoSpacing"/>
        <w:jc w:val="center"/>
        <w:rPr>
          <w:sz w:val="32"/>
          <w:szCs w:val="32"/>
          <w:u w:val="single"/>
        </w:rPr>
      </w:pPr>
      <w:r w:rsidRPr="000D47E3">
        <w:rPr>
          <w:sz w:val="32"/>
          <w:szCs w:val="32"/>
          <w:u w:val="single"/>
        </w:rPr>
        <w:t>Terms of Referenc</w:t>
      </w:r>
      <w:r w:rsidR="004418CF">
        <w:rPr>
          <w:sz w:val="32"/>
          <w:szCs w:val="32"/>
          <w:u w:val="single"/>
        </w:rPr>
        <w:t>e</w:t>
      </w:r>
    </w:p>
    <w:p w:rsidR="00FF4DEE" w:rsidRDefault="00FF4DEE" w:rsidP="004418CF">
      <w:pPr>
        <w:pStyle w:val="NoSpacing"/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275"/>
        <w:gridCol w:w="1615"/>
        <w:gridCol w:w="512"/>
        <w:gridCol w:w="1337"/>
      </w:tblGrid>
      <w:tr w:rsidR="00BF46BE" w:rsidTr="00685391">
        <w:tc>
          <w:tcPr>
            <w:tcW w:w="9242" w:type="dxa"/>
            <w:gridSpan w:val="7"/>
            <w:shd w:val="clear" w:color="auto" w:fill="8DB3E2" w:themeFill="text2" w:themeFillTint="66"/>
          </w:tcPr>
          <w:p w:rsidR="00BF46BE" w:rsidRPr="00685391" w:rsidRDefault="00BF46BE" w:rsidP="004418C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5391">
              <w:rPr>
                <w:b/>
                <w:sz w:val="24"/>
                <w:szCs w:val="24"/>
              </w:rPr>
              <w:t>Membership</w:t>
            </w:r>
          </w:p>
        </w:tc>
      </w:tr>
      <w:tr w:rsidR="009A78DC" w:rsidTr="009A78DC">
        <w:tc>
          <w:tcPr>
            <w:tcW w:w="1242" w:type="dxa"/>
            <w:vAlign w:val="center"/>
          </w:tcPr>
          <w:p w:rsidR="009A78DC" w:rsidRPr="00685391" w:rsidRDefault="009A78DC" w:rsidP="00BF46BE">
            <w:pPr>
              <w:pStyle w:val="NoSpacing"/>
              <w:jc w:val="center"/>
              <w:rPr>
                <w:sz w:val="24"/>
                <w:szCs w:val="24"/>
              </w:rPr>
            </w:pPr>
            <w:r w:rsidRPr="00685391">
              <w:rPr>
                <w:sz w:val="24"/>
                <w:szCs w:val="24"/>
              </w:rPr>
              <w:t>Head</w:t>
            </w:r>
          </w:p>
        </w:tc>
        <w:tc>
          <w:tcPr>
            <w:tcW w:w="1276" w:type="dxa"/>
            <w:vAlign w:val="center"/>
          </w:tcPr>
          <w:p w:rsidR="009A78DC" w:rsidRPr="00685391" w:rsidRDefault="009A78DC" w:rsidP="00BF46BE">
            <w:pPr>
              <w:pStyle w:val="NoSpacing"/>
              <w:jc w:val="center"/>
              <w:rPr>
                <w:sz w:val="24"/>
                <w:szCs w:val="24"/>
              </w:rPr>
            </w:pPr>
            <w:r w:rsidRPr="00685391">
              <w:rPr>
                <w:sz w:val="24"/>
                <w:szCs w:val="24"/>
              </w:rPr>
              <w:t>Vicar</w:t>
            </w:r>
          </w:p>
        </w:tc>
        <w:tc>
          <w:tcPr>
            <w:tcW w:w="1985" w:type="dxa"/>
            <w:vAlign w:val="center"/>
          </w:tcPr>
          <w:p w:rsidR="009A78DC" w:rsidRPr="00685391" w:rsidRDefault="00015DD4" w:rsidP="00BF46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78DC">
              <w:rPr>
                <w:sz w:val="24"/>
                <w:szCs w:val="24"/>
              </w:rPr>
              <w:t xml:space="preserve"> x Co-opted</w:t>
            </w:r>
            <w:r w:rsidR="009A78DC" w:rsidRPr="00685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A78DC" w:rsidRPr="00685391" w:rsidRDefault="009A78DC" w:rsidP="00BF46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</w:t>
            </w:r>
            <w:r w:rsidRPr="00685391">
              <w:rPr>
                <w:sz w:val="24"/>
                <w:szCs w:val="24"/>
              </w:rPr>
              <w:t>Parent</w:t>
            </w:r>
          </w:p>
        </w:tc>
        <w:tc>
          <w:tcPr>
            <w:tcW w:w="2127" w:type="dxa"/>
            <w:gridSpan w:val="2"/>
            <w:vAlign w:val="center"/>
          </w:tcPr>
          <w:p w:rsidR="009A78DC" w:rsidRPr="00685391" w:rsidRDefault="009A78DC" w:rsidP="00BF46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0A1AC2">
              <w:rPr>
                <w:sz w:val="24"/>
                <w:szCs w:val="24"/>
              </w:rPr>
              <w:t>Staff</w:t>
            </w:r>
          </w:p>
        </w:tc>
        <w:tc>
          <w:tcPr>
            <w:tcW w:w="1337" w:type="dxa"/>
            <w:vAlign w:val="center"/>
          </w:tcPr>
          <w:p w:rsidR="009A78DC" w:rsidRPr="00685391" w:rsidRDefault="009A78DC" w:rsidP="00BF46B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85391" w:rsidTr="00685391">
        <w:trPr>
          <w:trHeight w:val="220"/>
        </w:trPr>
        <w:tc>
          <w:tcPr>
            <w:tcW w:w="9242" w:type="dxa"/>
            <w:gridSpan w:val="7"/>
            <w:vAlign w:val="center"/>
          </w:tcPr>
          <w:p w:rsidR="00685391" w:rsidRPr="00BF46BE" w:rsidRDefault="00685391" w:rsidP="00BF46B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BF46BE" w:rsidTr="00685391">
        <w:tc>
          <w:tcPr>
            <w:tcW w:w="9242" w:type="dxa"/>
            <w:gridSpan w:val="7"/>
            <w:shd w:val="clear" w:color="auto" w:fill="8DB3E2" w:themeFill="text2" w:themeFillTint="66"/>
            <w:vAlign w:val="center"/>
          </w:tcPr>
          <w:p w:rsidR="00BF46BE" w:rsidRPr="00685391" w:rsidRDefault="00BF46BE" w:rsidP="004A3F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5391">
              <w:rPr>
                <w:b/>
                <w:sz w:val="24"/>
                <w:szCs w:val="24"/>
              </w:rPr>
              <w:t>Areas of Responsibility</w:t>
            </w:r>
            <w:r w:rsidR="004A3F6B" w:rsidRPr="00685391">
              <w:rPr>
                <w:b/>
                <w:sz w:val="24"/>
                <w:szCs w:val="24"/>
              </w:rPr>
              <w:t xml:space="preserve"> and</w:t>
            </w:r>
            <w:r w:rsidRPr="00685391">
              <w:rPr>
                <w:b/>
                <w:sz w:val="24"/>
                <w:szCs w:val="24"/>
              </w:rPr>
              <w:t xml:space="preserve"> </w:t>
            </w:r>
            <w:r w:rsidR="00685391" w:rsidRPr="00685391">
              <w:rPr>
                <w:b/>
                <w:sz w:val="24"/>
                <w:szCs w:val="24"/>
              </w:rPr>
              <w:t>Skill S</w:t>
            </w:r>
            <w:r w:rsidRPr="00685391">
              <w:rPr>
                <w:b/>
                <w:sz w:val="24"/>
                <w:szCs w:val="24"/>
              </w:rPr>
              <w:t>ets Needed</w:t>
            </w:r>
          </w:p>
        </w:tc>
      </w:tr>
      <w:tr w:rsidR="00BF46BE" w:rsidTr="00BF46BE">
        <w:tc>
          <w:tcPr>
            <w:tcW w:w="2518" w:type="dxa"/>
            <w:gridSpan w:val="2"/>
            <w:vAlign w:val="center"/>
          </w:tcPr>
          <w:p w:rsidR="00BF46BE" w:rsidRPr="00685391" w:rsidRDefault="00685391" w:rsidP="00BF46BE">
            <w:pPr>
              <w:pStyle w:val="NoSpacing"/>
              <w:jc w:val="center"/>
              <w:rPr>
                <w:sz w:val="24"/>
                <w:szCs w:val="24"/>
              </w:rPr>
            </w:pPr>
            <w:r w:rsidRPr="00685391">
              <w:rPr>
                <w:sz w:val="24"/>
                <w:szCs w:val="24"/>
              </w:rPr>
              <w:t>Gifted and Talented</w:t>
            </w:r>
          </w:p>
        </w:tc>
        <w:tc>
          <w:tcPr>
            <w:tcW w:w="1985" w:type="dxa"/>
            <w:vAlign w:val="center"/>
          </w:tcPr>
          <w:p w:rsidR="00BF46BE" w:rsidRPr="00685391" w:rsidRDefault="00685391" w:rsidP="00BF46BE">
            <w:pPr>
              <w:pStyle w:val="NoSpacing"/>
              <w:jc w:val="center"/>
              <w:rPr>
                <w:sz w:val="24"/>
                <w:szCs w:val="24"/>
              </w:rPr>
            </w:pPr>
            <w:r w:rsidRPr="00685391">
              <w:rPr>
                <w:sz w:val="24"/>
                <w:szCs w:val="24"/>
              </w:rPr>
              <w:t>HR and Early Years</w:t>
            </w:r>
          </w:p>
        </w:tc>
        <w:tc>
          <w:tcPr>
            <w:tcW w:w="2890" w:type="dxa"/>
            <w:gridSpan w:val="2"/>
            <w:vAlign w:val="center"/>
          </w:tcPr>
          <w:p w:rsidR="00BF46BE" w:rsidRPr="00685391" w:rsidRDefault="00685391" w:rsidP="00BF46BE">
            <w:pPr>
              <w:pStyle w:val="NoSpacing"/>
              <w:jc w:val="center"/>
              <w:rPr>
                <w:sz w:val="24"/>
                <w:szCs w:val="24"/>
              </w:rPr>
            </w:pPr>
            <w:r w:rsidRPr="00685391">
              <w:rPr>
                <w:sz w:val="24"/>
                <w:szCs w:val="24"/>
              </w:rPr>
              <w:t>Pupil Premium</w:t>
            </w:r>
          </w:p>
        </w:tc>
        <w:tc>
          <w:tcPr>
            <w:tcW w:w="1849" w:type="dxa"/>
            <w:gridSpan w:val="2"/>
            <w:vAlign w:val="center"/>
          </w:tcPr>
          <w:p w:rsidR="00BF46BE" w:rsidRPr="00685391" w:rsidRDefault="00685391" w:rsidP="00BF46BE">
            <w:pPr>
              <w:pStyle w:val="NoSpacing"/>
              <w:jc w:val="center"/>
              <w:rPr>
                <w:sz w:val="24"/>
                <w:szCs w:val="24"/>
              </w:rPr>
            </w:pPr>
            <w:r w:rsidRPr="00685391">
              <w:rPr>
                <w:sz w:val="24"/>
                <w:szCs w:val="24"/>
              </w:rPr>
              <w:t>Data</w:t>
            </w:r>
          </w:p>
        </w:tc>
      </w:tr>
    </w:tbl>
    <w:p w:rsidR="00FF4DEE" w:rsidRDefault="00FF4DEE" w:rsidP="004418CF">
      <w:pPr>
        <w:pStyle w:val="NoSpacing"/>
        <w:jc w:val="center"/>
        <w:rPr>
          <w:sz w:val="32"/>
          <w:szCs w:val="32"/>
          <w:u w:val="single"/>
        </w:rPr>
      </w:pPr>
    </w:p>
    <w:p w:rsidR="004418CF" w:rsidRPr="00BF46BE" w:rsidRDefault="004418CF" w:rsidP="004418CF">
      <w:pPr>
        <w:pStyle w:val="NoSpacing"/>
        <w:jc w:val="center"/>
        <w:rPr>
          <w:sz w:val="32"/>
          <w:szCs w:val="32"/>
        </w:rPr>
      </w:pP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  <w:color w:val="000000"/>
          <w:spacing w:val="-2"/>
        </w:rPr>
        <w:t xml:space="preserve">To </w:t>
      </w:r>
      <w:r w:rsidRPr="00F43B6C">
        <w:rPr>
          <w:rFonts w:ascii="Calibri" w:hAnsi="Calibri" w:cs="Arial"/>
        </w:rPr>
        <w:t>monitor and analyse the attainment of year 6 pupils as indicated by their test results and other evidence such as patterns or variations in groups, subjects or over time.</w:t>
      </w:r>
      <w:r>
        <w:rPr>
          <w:rFonts w:ascii="Calibri" w:hAnsi="Calibri" w:cs="Arial"/>
        </w:rPr>
        <w:t xml:space="preserve"> (Year Six Children representing the final output)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monitor the overall standards of pupils’ learning.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analyse pupils’ progress relative to their starting points.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analyse the progress of specific groups, incl</w:t>
      </w:r>
      <w:r w:rsidR="00FC1842">
        <w:rPr>
          <w:rFonts w:ascii="Calibri" w:hAnsi="Calibri" w:cs="Arial"/>
        </w:rPr>
        <w:t>uding Special Educational Needs and Pupil premium children.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monitor and analyse the progress made by individual pupils with Special Educational Needs or disabilities and to</w:t>
      </w:r>
      <w:r w:rsidRPr="00F43B6C">
        <w:rPr>
          <w:rFonts w:ascii="Calibri" w:hAnsi="Calibri" w:cs="Arial"/>
          <w:color w:val="000000"/>
          <w:spacing w:val="-9"/>
        </w:rPr>
        <w:t xml:space="preserve"> ensure effective provision for such pupils.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monitor the quality of pupils’ achievement (overall standards and progress).</w:t>
      </w:r>
    </w:p>
    <w:p w:rsidR="004418CF" w:rsidRPr="00201381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agree and monitor curriculum-related policies.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 xml:space="preserve">To monitor the planning and delivery of the whole school curriculum in relation to all outcomes including compliance with statutory requirements, ensuring breadth and balance </w:t>
      </w:r>
      <w:r w:rsidRPr="00F43B6C">
        <w:rPr>
          <w:rFonts w:ascii="Calibri" w:hAnsi="Calibri" w:cs="Arial"/>
          <w:color w:val="000000"/>
          <w:spacing w:val="-5"/>
        </w:rPr>
        <w:t xml:space="preserve">in </w:t>
      </w:r>
      <w:r w:rsidRPr="00F43B6C">
        <w:rPr>
          <w:rFonts w:ascii="Calibri" w:hAnsi="Calibri" w:cs="Arial"/>
          <w:color w:val="000000"/>
          <w:spacing w:val="-10"/>
        </w:rPr>
        <w:t xml:space="preserve">keeping with the ethos of the school and ensuring that attention is </w:t>
      </w:r>
      <w:r w:rsidRPr="00F43B6C">
        <w:rPr>
          <w:rFonts w:ascii="Calibri" w:hAnsi="Calibri" w:cs="Arial"/>
          <w:color w:val="000000"/>
          <w:spacing w:val="-11"/>
        </w:rPr>
        <w:t xml:space="preserve">paid to pupils’ spiritual moral social </w:t>
      </w:r>
      <w:r w:rsidRPr="00F43B6C">
        <w:rPr>
          <w:rFonts w:ascii="Calibri" w:hAnsi="Calibri" w:cs="Arial"/>
          <w:color w:val="000000"/>
          <w:spacing w:val="-5"/>
        </w:rPr>
        <w:t>emotional and cultural development</w:t>
      </w:r>
      <w:r w:rsidRPr="00F43B6C">
        <w:rPr>
          <w:rFonts w:ascii="Calibri" w:hAnsi="Calibri" w:cs="Arial"/>
        </w:rPr>
        <w:t>.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 xml:space="preserve">To monitor opportunities for children to apply learned skills and knowledge in real-life situations and </w:t>
      </w:r>
      <w:r w:rsidRPr="00F43B6C">
        <w:rPr>
          <w:rFonts w:ascii="Calibri" w:hAnsi="Calibri" w:cs="Arial"/>
          <w:color w:val="000000"/>
          <w:spacing w:val="-5"/>
        </w:rPr>
        <w:t xml:space="preserve">develop their understanding of their rights </w:t>
      </w:r>
      <w:r w:rsidRPr="00F43B6C">
        <w:rPr>
          <w:rFonts w:ascii="Calibri" w:hAnsi="Calibri" w:cs="Arial"/>
          <w:color w:val="000000"/>
          <w:spacing w:val="-10"/>
        </w:rPr>
        <w:t xml:space="preserve">and responsibilities and have appropriate opportunities to make a </w:t>
      </w:r>
      <w:r w:rsidRPr="00F43B6C">
        <w:rPr>
          <w:rFonts w:ascii="Calibri" w:hAnsi="Calibri" w:cs="Arial"/>
          <w:color w:val="000000"/>
          <w:spacing w:val="-5"/>
        </w:rPr>
        <w:t>positive contribution to the local community.</w:t>
      </w:r>
    </w:p>
    <w:p w:rsidR="003B54F9" w:rsidRPr="00E35AFD" w:rsidRDefault="004418CF" w:rsidP="00E35AFD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monitor and address the standards of teaching across the school.</w:t>
      </w:r>
      <w:bookmarkStart w:id="0" w:name="_GoBack"/>
      <w:bookmarkEnd w:id="0"/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address the quality of assessment procedures and practice across the school.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 xml:space="preserve">To assess how well the school sets challenging targets to raise standards for all pupils and to ensure the reporting of targets </w:t>
      </w:r>
      <w:r w:rsidRPr="00F43B6C">
        <w:rPr>
          <w:rFonts w:ascii="Calibri" w:hAnsi="Calibri" w:cs="Arial"/>
          <w:color w:val="000000"/>
          <w:spacing w:val="-5"/>
        </w:rPr>
        <w:t xml:space="preserve">to the </w:t>
      </w:r>
      <w:r w:rsidRPr="00F43B6C">
        <w:rPr>
          <w:rFonts w:ascii="Calibri" w:hAnsi="Calibri" w:cs="Arial"/>
          <w:color w:val="000000"/>
          <w:spacing w:val="-10"/>
        </w:rPr>
        <w:t xml:space="preserve">governing body and the local authority and their publication in the </w:t>
      </w:r>
      <w:r w:rsidRPr="00F43B6C">
        <w:rPr>
          <w:rFonts w:ascii="Calibri" w:hAnsi="Calibri" w:cs="Arial"/>
          <w:color w:val="000000"/>
          <w:spacing w:val="-4"/>
        </w:rPr>
        <w:t>school profile</w:t>
      </w:r>
      <w:r w:rsidRPr="00F43B6C">
        <w:rPr>
          <w:rFonts w:ascii="Calibri" w:hAnsi="Calibri" w:cs="Arial"/>
        </w:rPr>
        <w:t>.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assess how well the school leads and manages at all levels, the drive for high quality teaching and learning.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lastRenderedPageBreak/>
        <w:t xml:space="preserve">To evaluate and monitor the delivery of the Early Years Development Matters outcomes for the early years. </w:t>
      </w:r>
    </w:p>
    <w:p w:rsidR="004418CF" w:rsidRPr="00F43B6C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>To monitor how well children learn and develop at foundation stage.</w:t>
      </w:r>
    </w:p>
    <w:p w:rsidR="004418CF" w:rsidRPr="00201381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F43B6C">
        <w:rPr>
          <w:rFonts w:ascii="Calibri" w:hAnsi="Calibri" w:cs="Arial"/>
        </w:rPr>
        <w:t xml:space="preserve">To </w:t>
      </w:r>
      <w:r w:rsidRPr="00201381">
        <w:rPr>
          <w:rFonts w:ascii="Calibri" w:hAnsi="Calibri" w:cs="Arial"/>
        </w:rPr>
        <w:t>monitor pupils’ development of the skills, attitudes and qualities necessary to live in tomorrow’s world.</w:t>
      </w:r>
    </w:p>
    <w:p w:rsidR="004418CF" w:rsidRPr="00201381" w:rsidRDefault="004418CF" w:rsidP="004418CF">
      <w:pPr>
        <w:pStyle w:val="ListParagraph"/>
        <w:numPr>
          <w:ilvl w:val="0"/>
          <w:numId w:val="1"/>
        </w:numPr>
        <w:contextualSpacing/>
        <w:rPr>
          <w:rFonts w:ascii="Calibri" w:hAnsi="Calibri" w:cs="Arial"/>
          <w:color w:val="000000"/>
          <w:spacing w:val="-2"/>
        </w:rPr>
      </w:pPr>
      <w:r w:rsidRPr="00201381">
        <w:rPr>
          <w:rFonts w:ascii="Calibri" w:hAnsi="Calibri"/>
        </w:rPr>
        <w:t xml:space="preserve">To contribute to the development of the school improvement plan </w:t>
      </w:r>
      <w:r w:rsidRPr="00201381">
        <w:rPr>
          <w:rFonts w:ascii="Calibri" w:hAnsi="Calibri"/>
          <w:spacing w:val="-4"/>
        </w:rPr>
        <w:t>and self evaluation form and school profile.</w:t>
      </w:r>
    </w:p>
    <w:p w:rsidR="00862466" w:rsidRDefault="00862466" w:rsidP="004418CF">
      <w:pPr>
        <w:pStyle w:val="NoSpacing"/>
      </w:pPr>
    </w:p>
    <w:sectPr w:rsidR="00862466" w:rsidSect="0086246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B8" w:rsidRDefault="00737DB8" w:rsidP="0018386B">
      <w:r>
        <w:separator/>
      </w:r>
    </w:p>
  </w:endnote>
  <w:endnote w:type="continuationSeparator" w:id="0">
    <w:p w:rsidR="00737DB8" w:rsidRDefault="00737DB8" w:rsidP="0018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06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B54F9" w:rsidRDefault="003B54F9">
            <w:pPr>
              <w:pStyle w:val="Footer"/>
              <w:jc w:val="right"/>
            </w:pPr>
            <w:r w:rsidRPr="004A3F6B">
              <w:rPr>
                <w:sz w:val="16"/>
                <w:szCs w:val="16"/>
              </w:rPr>
              <w:t xml:space="preserve">Terms of Reference </w:t>
            </w:r>
            <w:proofErr w:type="gramStart"/>
            <w:r w:rsidRPr="004A3F6B">
              <w:rPr>
                <w:sz w:val="16"/>
                <w:szCs w:val="16"/>
              </w:rPr>
              <w:t>TLA</w:t>
            </w:r>
            <w:r w:rsidR="004A3F6B">
              <w:rPr>
                <w:sz w:val="16"/>
                <w:szCs w:val="16"/>
              </w:rPr>
              <w:t xml:space="preserve"> </w:t>
            </w:r>
            <w:r w:rsidRPr="004A3F6B">
              <w:rPr>
                <w:sz w:val="16"/>
                <w:szCs w:val="16"/>
              </w:rPr>
              <w:t xml:space="preserve"> </w:t>
            </w:r>
            <w:r w:rsidR="004A3F6B" w:rsidRPr="004A3F6B">
              <w:rPr>
                <w:sz w:val="16"/>
                <w:szCs w:val="16"/>
              </w:rPr>
              <w:t>Committee</w:t>
            </w:r>
            <w:proofErr w:type="gramEnd"/>
            <w:r w:rsidR="00015DD4">
              <w:rPr>
                <w:sz w:val="16"/>
                <w:szCs w:val="16"/>
              </w:rPr>
              <w:t xml:space="preserve"> </w:t>
            </w:r>
            <w:r w:rsidR="001F1933">
              <w:rPr>
                <w:sz w:val="16"/>
                <w:szCs w:val="16"/>
              </w:rPr>
              <w:t>2016</w:t>
            </w:r>
            <w:r w:rsidRPr="004A3F6B">
              <w:rPr>
                <w:sz w:val="16"/>
                <w:szCs w:val="16"/>
              </w:rPr>
              <w:t xml:space="preserve"> </w:t>
            </w:r>
            <w:r w:rsidR="004A3F6B">
              <w:rPr>
                <w:sz w:val="16"/>
                <w:szCs w:val="16"/>
              </w:rPr>
              <w:t xml:space="preserve">                </w:t>
            </w:r>
            <w:r w:rsidRPr="004A3F6B">
              <w:rPr>
                <w:sz w:val="16"/>
                <w:szCs w:val="16"/>
              </w:rPr>
              <w:t xml:space="preserve"> Page </w:t>
            </w:r>
            <w:r w:rsidR="00B00371" w:rsidRPr="004A3F6B">
              <w:rPr>
                <w:b/>
                <w:sz w:val="16"/>
                <w:szCs w:val="16"/>
              </w:rPr>
              <w:fldChar w:fldCharType="begin"/>
            </w:r>
            <w:r w:rsidRPr="004A3F6B">
              <w:rPr>
                <w:b/>
                <w:sz w:val="16"/>
                <w:szCs w:val="16"/>
              </w:rPr>
              <w:instrText xml:space="preserve"> PAGE </w:instrText>
            </w:r>
            <w:r w:rsidR="00B00371" w:rsidRPr="004A3F6B">
              <w:rPr>
                <w:b/>
                <w:sz w:val="16"/>
                <w:szCs w:val="16"/>
              </w:rPr>
              <w:fldChar w:fldCharType="separate"/>
            </w:r>
            <w:r w:rsidR="00E35AFD">
              <w:rPr>
                <w:b/>
                <w:noProof/>
                <w:sz w:val="16"/>
                <w:szCs w:val="16"/>
              </w:rPr>
              <w:t>2</w:t>
            </w:r>
            <w:r w:rsidR="00B00371" w:rsidRPr="004A3F6B">
              <w:rPr>
                <w:b/>
                <w:sz w:val="16"/>
                <w:szCs w:val="16"/>
              </w:rPr>
              <w:fldChar w:fldCharType="end"/>
            </w:r>
            <w:r w:rsidRPr="004A3F6B">
              <w:rPr>
                <w:sz w:val="16"/>
                <w:szCs w:val="16"/>
              </w:rPr>
              <w:t xml:space="preserve"> of </w:t>
            </w:r>
            <w:r w:rsidR="00B00371" w:rsidRPr="004A3F6B">
              <w:rPr>
                <w:b/>
                <w:sz w:val="16"/>
                <w:szCs w:val="16"/>
              </w:rPr>
              <w:fldChar w:fldCharType="begin"/>
            </w:r>
            <w:r w:rsidRPr="004A3F6B">
              <w:rPr>
                <w:b/>
                <w:sz w:val="16"/>
                <w:szCs w:val="16"/>
              </w:rPr>
              <w:instrText xml:space="preserve"> NUMPAGES  </w:instrText>
            </w:r>
            <w:r w:rsidR="00B00371" w:rsidRPr="004A3F6B">
              <w:rPr>
                <w:b/>
                <w:sz w:val="16"/>
                <w:szCs w:val="16"/>
              </w:rPr>
              <w:fldChar w:fldCharType="separate"/>
            </w:r>
            <w:r w:rsidR="00E35AFD">
              <w:rPr>
                <w:b/>
                <w:noProof/>
                <w:sz w:val="16"/>
                <w:szCs w:val="16"/>
              </w:rPr>
              <w:t>2</w:t>
            </w:r>
            <w:r w:rsidR="00B00371" w:rsidRPr="004A3F6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8386B" w:rsidRDefault="00183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B8" w:rsidRDefault="00737DB8" w:rsidP="0018386B">
      <w:r>
        <w:separator/>
      </w:r>
    </w:p>
  </w:footnote>
  <w:footnote w:type="continuationSeparator" w:id="0">
    <w:p w:rsidR="00737DB8" w:rsidRDefault="00737DB8" w:rsidP="0018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BBD"/>
    <w:multiLevelType w:val="hybridMultilevel"/>
    <w:tmpl w:val="8D461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7E3"/>
    <w:rsid w:val="00015DD4"/>
    <w:rsid w:val="00025688"/>
    <w:rsid w:val="000A1AC2"/>
    <w:rsid w:val="000D47E3"/>
    <w:rsid w:val="000F1162"/>
    <w:rsid w:val="0018386B"/>
    <w:rsid w:val="001A0559"/>
    <w:rsid w:val="001B7637"/>
    <w:rsid w:val="001F1933"/>
    <w:rsid w:val="003B54F9"/>
    <w:rsid w:val="003C1CA7"/>
    <w:rsid w:val="004418CF"/>
    <w:rsid w:val="004A3F6B"/>
    <w:rsid w:val="004A499B"/>
    <w:rsid w:val="00685391"/>
    <w:rsid w:val="00700008"/>
    <w:rsid w:val="00701B56"/>
    <w:rsid w:val="00737DB8"/>
    <w:rsid w:val="00862466"/>
    <w:rsid w:val="009441FE"/>
    <w:rsid w:val="009A78DC"/>
    <w:rsid w:val="00AB0C86"/>
    <w:rsid w:val="00AD605A"/>
    <w:rsid w:val="00B00371"/>
    <w:rsid w:val="00B75B01"/>
    <w:rsid w:val="00BF46BE"/>
    <w:rsid w:val="00D16575"/>
    <w:rsid w:val="00DD0007"/>
    <w:rsid w:val="00DD6456"/>
    <w:rsid w:val="00E35AFD"/>
    <w:rsid w:val="00ED2A21"/>
    <w:rsid w:val="00F71DEF"/>
    <w:rsid w:val="00FC1842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568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DD0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7E3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47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3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6B"/>
  </w:style>
  <w:style w:type="paragraph" w:styleId="BalloonText">
    <w:name w:val="Balloon Text"/>
    <w:basedOn w:val="Normal"/>
    <w:link w:val="BalloonTextChar"/>
    <w:uiPriority w:val="99"/>
    <w:semiHidden/>
    <w:unhideWhenUsed/>
    <w:rsid w:val="0018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18CF"/>
    <w:pPr>
      <w:ind w:left="720"/>
    </w:pPr>
  </w:style>
  <w:style w:type="table" w:styleId="TableGrid">
    <w:name w:val="Table Grid"/>
    <w:basedOn w:val="TableNormal"/>
    <w:uiPriority w:val="59"/>
    <w:rsid w:val="00BF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</cp:lastModifiedBy>
  <cp:revision>16</cp:revision>
  <cp:lastPrinted>2017-09-27T13:28:00Z</cp:lastPrinted>
  <dcterms:created xsi:type="dcterms:W3CDTF">2014-07-07T15:26:00Z</dcterms:created>
  <dcterms:modified xsi:type="dcterms:W3CDTF">2017-09-27T13:28:00Z</dcterms:modified>
</cp:coreProperties>
</file>